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83" w:rsidRDefault="00E86283" w:rsidP="00E86283">
      <w:pPr>
        <w:pStyle w:val="Heading1"/>
      </w:pPr>
      <w:r>
        <w:t>Isometric Exercise:</w:t>
      </w:r>
    </w:p>
    <w:p w:rsidR="00E86283" w:rsidRDefault="00E86283" w:rsidP="00E86283"/>
    <w:p w:rsidR="00E86283" w:rsidRDefault="00E86283" w:rsidP="00E86283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D21DFE">
        <w:rPr>
          <w:rFonts w:ascii="Times New Roman" w:eastAsia="Garamond" w:hAnsi="Times New Roman" w:cs="Times New Roman"/>
          <w:sz w:val="24"/>
          <w:szCs w:val="24"/>
        </w:rPr>
        <w:t>Though little research evidence exists for its clinical application, some clinicians believe that isometric contractions have an analgesic effect on tendon pain associated with AT</w:t>
      </w:r>
      <w:r w:rsidR="00182859">
        <w:rPr>
          <w:rFonts w:ascii="Times New Roman" w:eastAsia="Garamond" w:hAnsi="Times New Roman" w:cs="Times New Roman"/>
          <w:sz w:val="24"/>
          <w:szCs w:val="24"/>
        </w:rPr>
        <w:t xml:space="preserve"> (Rowe et al 2012</w:t>
      </w:r>
      <w:r>
        <w:rPr>
          <w:rFonts w:ascii="Times New Roman" w:eastAsia="Garamond" w:hAnsi="Times New Roman" w:cs="Times New Roman"/>
          <w:sz w:val="24"/>
          <w:szCs w:val="24"/>
        </w:rPr>
        <w:t>)</w:t>
      </w:r>
      <w:r w:rsidRPr="00D21DFE">
        <w:rPr>
          <w:rFonts w:ascii="Times New Roman" w:eastAsia="Garamond" w:hAnsi="Times New Roman" w:cs="Times New Roman"/>
          <w:sz w:val="24"/>
          <w:szCs w:val="24"/>
        </w:rPr>
        <w:t xml:space="preserve">. Their use has been identified to load the tendon without increasing pain in reactive and painful </w:t>
      </w:r>
      <w:proofErr w:type="spellStart"/>
      <w:r w:rsidRPr="00D21DFE">
        <w:rPr>
          <w:rFonts w:ascii="Times New Roman" w:eastAsia="Garamond" w:hAnsi="Times New Roman" w:cs="Times New Roman"/>
          <w:sz w:val="24"/>
          <w:szCs w:val="24"/>
        </w:rPr>
        <w:t>tendinopathy</w:t>
      </w:r>
      <w:proofErr w:type="spellEnd"/>
      <w:r w:rsidRPr="00D21DFE">
        <w:rPr>
          <w:rFonts w:ascii="Times New Roman" w:eastAsia="Garamond" w:hAnsi="Times New Roman" w:cs="Times New Roman"/>
          <w:sz w:val="24"/>
          <w:szCs w:val="24"/>
        </w:rPr>
        <w:t>, and to continue loading a tendon which has become increasingly painful following eccentric exercises for the treatment of AT</w:t>
      </w:r>
      <w:r>
        <w:rPr>
          <w:rFonts w:ascii="Times New Roman" w:eastAsia="Garamond" w:hAnsi="Times New Roman" w:cs="Times New Roman"/>
          <w:sz w:val="24"/>
          <w:szCs w:val="24"/>
        </w:rPr>
        <w:t xml:space="preserve"> (Cook and </w:t>
      </w:r>
      <w:proofErr w:type="spellStart"/>
      <w:r>
        <w:rPr>
          <w:rFonts w:ascii="Times New Roman" w:eastAsia="Garamond" w:hAnsi="Times New Roman" w:cs="Times New Roman"/>
          <w:sz w:val="24"/>
          <w:szCs w:val="24"/>
        </w:rPr>
        <w:t>Purdam</w:t>
      </w:r>
      <w:proofErr w:type="spellEnd"/>
      <w:r>
        <w:rPr>
          <w:rFonts w:ascii="Times New Roman" w:eastAsia="Garamond" w:hAnsi="Times New Roman" w:cs="Times New Roman"/>
          <w:sz w:val="24"/>
          <w:szCs w:val="24"/>
        </w:rPr>
        <w:t xml:space="preserve"> 2013). </w:t>
      </w:r>
      <w:r w:rsidRPr="00D21DFE">
        <w:rPr>
          <w:rFonts w:ascii="Times New Roman" w:eastAsia="Garamond" w:hAnsi="Times New Roman" w:cs="Times New Roman"/>
          <w:sz w:val="24"/>
          <w:szCs w:val="24"/>
        </w:rPr>
        <w:t>Information gathered around this was from clinical expertise, though research into the subject area and clinical utility of this contract</w:t>
      </w:r>
      <w:r>
        <w:rPr>
          <w:rFonts w:ascii="Times New Roman" w:eastAsia="Garamond" w:hAnsi="Times New Roman" w:cs="Times New Roman"/>
          <w:sz w:val="24"/>
          <w:szCs w:val="24"/>
        </w:rPr>
        <w:t xml:space="preserve">ion type is currently underway </w:t>
      </w:r>
      <w:r w:rsidRPr="00D21DFE">
        <w:rPr>
          <w:rFonts w:ascii="Times New Roman" w:eastAsia="Garamond" w:hAnsi="Times New Roman" w:cs="Times New Roman"/>
          <w:sz w:val="24"/>
          <w:szCs w:val="24"/>
        </w:rPr>
        <w:t xml:space="preserve">(Pope and </w:t>
      </w:r>
      <w:proofErr w:type="spellStart"/>
      <w:r w:rsidRPr="00D21DFE">
        <w:rPr>
          <w:rFonts w:ascii="Times New Roman" w:eastAsia="Garamond" w:hAnsi="Times New Roman" w:cs="Times New Roman"/>
          <w:sz w:val="24"/>
          <w:szCs w:val="24"/>
        </w:rPr>
        <w:t>Malliaras</w:t>
      </w:r>
      <w:proofErr w:type="spellEnd"/>
      <w:r w:rsidRPr="00D21DFE">
        <w:rPr>
          <w:rFonts w:ascii="Times New Roman" w:eastAsia="Garamond" w:hAnsi="Times New Roman" w:cs="Times New Roman"/>
          <w:sz w:val="24"/>
          <w:szCs w:val="24"/>
        </w:rPr>
        <w:t xml:space="preserve"> 2015</w:t>
      </w:r>
      <w:r>
        <w:rPr>
          <w:rFonts w:ascii="Times New Roman" w:eastAsia="Garamond" w:hAnsi="Times New Roman" w:cs="Times New Roman"/>
          <w:sz w:val="24"/>
          <w:szCs w:val="24"/>
        </w:rPr>
        <w:t>). To date a single review investigating the influence of isometrics on pain have reported a general pain inhibitory response (</w:t>
      </w:r>
      <w:proofErr w:type="spellStart"/>
      <w:r>
        <w:rPr>
          <w:rFonts w:ascii="Times New Roman" w:eastAsia="Garamond" w:hAnsi="Times New Roman" w:cs="Times New Roman"/>
          <w:sz w:val="24"/>
          <w:szCs w:val="24"/>
        </w:rPr>
        <w:t>Naugle</w:t>
      </w:r>
      <w:proofErr w:type="spellEnd"/>
      <w:r>
        <w:rPr>
          <w:rFonts w:ascii="Times New Roman" w:eastAsia="Garamond" w:hAnsi="Times New Roman" w:cs="Times New Roman"/>
          <w:sz w:val="24"/>
          <w:szCs w:val="24"/>
        </w:rPr>
        <w:t xml:space="preserve"> et al 2012). However the influence of isometric exercise was only examined in experimentally induced pain not specific to tendons. The protocol used, based on clinical practice, is outlined below (Cook and </w:t>
      </w:r>
      <w:proofErr w:type="spellStart"/>
      <w:r>
        <w:rPr>
          <w:rFonts w:ascii="Times New Roman" w:eastAsia="Garamond" w:hAnsi="Times New Roman" w:cs="Times New Roman"/>
          <w:sz w:val="24"/>
          <w:szCs w:val="24"/>
        </w:rPr>
        <w:t>Purdam</w:t>
      </w:r>
      <w:proofErr w:type="spellEnd"/>
      <w:r>
        <w:rPr>
          <w:rFonts w:ascii="Times New Roman" w:eastAsia="Garamond" w:hAnsi="Times New Roman" w:cs="Times New Roman"/>
          <w:sz w:val="24"/>
          <w:szCs w:val="24"/>
        </w:rPr>
        <w:t xml:space="preserve"> 2006; </w:t>
      </w:r>
      <w:proofErr w:type="spellStart"/>
      <w:r>
        <w:rPr>
          <w:rFonts w:ascii="Times New Roman" w:eastAsia="Garamond" w:hAnsi="Times New Roman" w:cs="Times New Roman"/>
          <w:sz w:val="24"/>
          <w:szCs w:val="24"/>
        </w:rPr>
        <w:t>Naugle</w:t>
      </w:r>
      <w:proofErr w:type="spellEnd"/>
      <w:r>
        <w:rPr>
          <w:rFonts w:ascii="Times New Roman" w:eastAsia="Garamond" w:hAnsi="Times New Roman" w:cs="Times New Roman"/>
          <w:sz w:val="24"/>
          <w:szCs w:val="24"/>
        </w:rPr>
        <w:t xml:space="preserve"> et al 2012).</w:t>
      </w:r>
    </w:p>
    <w:tbl>
      <w:tblPr>
        <w:tblStyle w:val="GridTable4-Accent4"/>
        <w:tblpPr w:leftFromText="180" w:rightFromText="180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808"/>
        <w:gridCol w:w="2445"/>
      </w:tblGrid>
      <w:tr w:rsidR="00E86283" w:rsidTr="00482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  <w:t>Sets</w:t>
            </w:r>
          </w:p>
        </w:tc>
        <w:tc>
          <w:tcPr>
            <w:tcW w:w="1276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  <w:t>Reps</w:t>
            </w:r>
          </w:p>
        </w:tc>
        <w:tc>
          <w:tcPr>
            <w:tcW w:w="1808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  <w:t>Frequency</w:t>
            </w:r>
          </w:p>
        </w:tc>
        <w:tc>
          <w:tcPr>
            <w:tcW w:w="2445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  <w:t>Contraction</w:t>
            </w:r>
          </w:p>
        </w:tc>
      </w:tr>
      <w:tr w:rsidR="00E86283" w:rsidTr="00482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b w:val="0"/>
                <w:sz w:val="24"/>
                <w:szCs w:val="24"/>
              </w:rPr>
              <w:t>Isometric</w:t>
            </w:r>
          </w:p>
        </w:tc>
        <w:tc>
          <w:tcPr>
            <w:tcW w:w="1134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sz w:val="24"/>
                <w:szCs w:val="24"/>
              </w:rPr>
              <w:t>Several</w:t>
            </w:r>
          </w:p>
        </w:tc>
        <w:tc>
          <w:tcPr>
            <w:tcW w:w="1276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08" w:type="dxa"/>
            <w:vAlign w:val="center"/>
          </w:tcPr>
          <w:p w:rsidR="00E86283" w:rsidRPr="00931137" w:rsidRDefault="00E86283" w:rsidP="00482D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sz w:val="24"/>
                <w:szCs w:val="24"/>
              </w:rPr>
              <w:t>Pain Dependent</w:t>
            </w:r>
          </w:p>
        </w:tc>
        <w:tc>
          <w:tcPr>
            <w:tcW w:w="2445" w:type="dxa"/>
            <w:vAlign w:val="center"/>
          </w:tcPr>
          <w:p w:rsidR="00E86283" w:rsidRDefault="00E86283" w:rsidP="00482D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E86283" w:rsidRPr="00931137" w:rsidRDefault="00E86283" w:rsidP="00482D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931137">
              <w:rPr>
                <w:rFonts w:ascii="Times New Roman" w:eastAsia="Garamond" w:hAnsi="Times New Roman" w:cs="Times New Roman"/>
                <w:sz w:val="24"/>
                <w:szCs w:val="24"/>
              </w:rPr>
              <w:t>25-50% MVC</w:t>
            </w:r>
          </w:p>
          <w:p w:rsidR="00E86283" w:rsidRPr="00931137" w:rsidRDefault="00E86283" w:rsidP="00482D3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</w:tbl>
    <w:p w:rsidR="00E86283" w:rsidRDefault="00E86283" w:rsidP="00E86283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:rsidR="00E86283" w:rsidRDefault="00E86283" w:rsidP="00E86283">
      <w:pPr>
        <w:pStyle w:val="ListParagraph"/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:rsidR="00E86283" w:rsidRDefault="00E86283" w:rsidP="00E862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Stand with the balls of your feet on the step and your heels hanging over. Keep your foot in this position.</w:t>
      </w:r>
    </w:p>
    <w:p w:rsidR="00E86283" w:rsidRDefault="00E86283" w:rsidP="00E862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Holding onto something for support, lift the uninjured leg up so you are standing on one leg.</w:t>
      </w:r>
    </w:p>
    <w:p w:rsidR="00E86283" w:rsidRDefault="00E86283" w:rsidP="00E862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Hold this position and do not allow your ankle to move position.</w:t>
      </w:r>
    </w:p>
    <w:p w:rsidR="009D3F11" w:rsidRPr="00E86283" w:rsidRDefault="009D3F11" w:rsidP="00E86283">
      <w:bookmarkStart w:id="0" w:name="_GoBack"/>
      <w:bookmarkEnd w:id="0"/>
    </w:p>
    <w:sectPr w:rsidR="009D3F11" w:rsidRPr="00E86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16EC5"/>
    <w:multiLevelType w:val="hybridMultilevel"/>
    <w:tmpl w:val="83A48B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FE"/>
    <w:rsid w:val="00182859"/>
    <w:rsid w:val="00183142"/>
    <w:rsid w:val="004A7F0E"/>
    <w:rsid w:val="00705889"/>
    <w:rsid w:val="009D3F11"/>
    <w:rsid w:val="00B7227F"/>
    <w:rsid w:val="00D21DFE"/>
    <w:rsid w:val="00E86283"/>
    <w:rsid w:val="00F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55F3E-A16D-4E79-B3BE-213D6B3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1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1D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D3F11"/>
  </w:style>
  <w:style w:type="character" w:styleId="Hyperlink">
    <w:name w:val="Hyperlink"/>
    <w:basedOn w:val="DefaultParagraphFont"/>
    <w:uiPriority w:val="99"/>
    <w:unhideWhenUsed/>
    <w:rsid w:val="009D3F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3F11"/>
    <w:rPr>
      <w:b/>
      <w:bCs/>
    </w:rPr>
  </w:style>
  <w:style w:type="table" w:styleId="GridTable4-Accent4">
    <w:name w:val="Grid Table 4 Accent 4"/>
    <w:basedOn w:val="TableNormal"/>
    <w:uiPriority w:val="49"/>
    <w:rsid w:val="00E862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Eoghan</cp:lastModifiedBy>
  <cp:revision>6</cp:revision>
  <dcterms:created xsi:type="dcterms:W3CDTF">2015-04-08T22:24:00Z</dcterms:created>
  <dcterms:modified xsi:type="dcterms:W3CDTF">2015-04-10T08:57:00Z</dcterms:modified>
</cp:coreProperties>
</file>